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932" w:rsidRDefault="001C6928">
      <w:pPr>
        <w:shd w:val="clear" w:color="auto" w:fill="FFFFFF"/>
        <w:tabs>
          <w:tab w:val="left" w:pos="3148"/>
          <w:tab w:val="center" w:pos="4818"/>
          <w:tab w:val="left" w:pos="6926"/>
        </w:tabs>
        <w:spacing w:before="0"/>
        <w:ind w:firstLine="5954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№ 1 к ТТ</w:t>
      </w:r>
      <w:bookmarkStart w:id="0" w:name="_GoBack"/>
      <w:bookmarkEnd w:id="0"/>
    </w:p>
    <w:p w:rsidR="00622932" w:rsidRDefault="00622932">
      <w:pPr>
        <w:jc w:val="right"/>
        <w:rPr>
          <w:sz w:val="22"/>
          <w:szCs w:val="22"/>
        </w:rPr>
      </w:pPr>
    </w:p>
    <w:p w:rsidR="00622932" w:rsidRDefault="00622932">
      <w:pPr>
        <w:jc w:val="right"/>
        <w:rPr>
          <w:sz w:val="22"/>
          <w:szCs w:val="22"/>
        </w:rPr>
      </w:pPr>
    </w:p>
    <w:p w:rsidR="00622932" w:rsidRDefault="001C6928">
      <w:pPr>
        <w:jc w:val="center"/>
        <w:rPr>
          <w:b/>
          <w:color w:val="000000" w:themeColor="text1"/>
          <w:szCs w:val="26"/>
        </w:rPr>
      </w:pPr>
      <w:r>
        <w:rPr>
          <w:b/>
          <w:color w:val="000000" w:themeColor="text1"/>
          <w:szCs w:val="26"/>
        </w:rPr>
        <w:t>Основные нормативно-технические документы (НТД), определяющие требования к проектной документации</w:t>
      </w:r>
    </w:p>
    <w:p w:rsidR="00622932" w:rsidRDefault="00622932">
      <w:pPr>
        <w:jc w:val="center"/>
        <w:rPr>
          <w:b/>
          <w:color w:val="000000" w:themeColor="text1"/>
          <w:szCs w:val="26"/>
        </w:rPr>
      </w:pPr>
    </w:p>
    <w:p w:rsidR="00622932" w:rsidRDefault="001C6928">
      <w:pPr>
        <w:pStyle w:val="af7"/>
        <w:numPr>
          <w:ilvl w:val="0"/>
          <w:numId w:val="1"/>
        </w:num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Градостроительный кодекс РФ; 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Земельный кодекс РФ;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Воздушный кодекс Российской Федерации;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Федеральный закон от 24.07.2007 г. № 221-ФЗ </w:t>
      </w:r>
      <w:r>
        <w:rPr>
          <w:color w:val="000000" w:themeColor="text1"/>
          <w:sz w:val="24"/>
          <w:szCs w:val="24"/>
        </w:rPr>
        <w:t>«О кадастровой деятельности»;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Федеральный закон от 13.07.2015 № 218-ФЗ «О государственной регистрации недвижимости»; 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Лесной кодекс РФ;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Водный кодекс РФ;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26.06.2008 N 102-ФЗ «Об обеспечении единства измерений»;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27.</w:t>
      </w:r>
      <w:r>
        <w:rPr>
          <w:color w:val="000000" w:themeColor="text1"/>
          <w:sz w:val="24"/>
          <w:szCs w:val="24"/>
        </w:rPr>
        <w:t>12.2002 N 184-ФЗ «О техническом регулировании»;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07.07.2003 N 126-ФЗ "О связи";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10.01.2002 N 7-ФЗ "Об охране окружающей среды;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14.03.1995 N 33-ФЗ "Об особо охраняемых природных территориях";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</w:t>
      </w:r>
      <w:r>
        <w:rPr>
          <w:color w:val="000000" w:themeColor="text1"/>
          <w:sz w:val="24"/>
          <w:szCs w:val="24"/>
        </w:rPr>
        <w:t>еральный закон от 22.07.2008 N 123-ФЗ "Технический регламент о требованиях пожарной безопасности";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25.06.2002 N 73-ФЗ "Об объектах культурного наследия (памятниках истории и культуры) народов Российской Федерации";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</w:t>
      </w:r>
      <w:r>
        <w:rPr>
          <w:color w:val="000000" w:themeColor="text1"/>
          <w:sz w:val="24"/>
          <w:szCs w:val="24"/>
        </w:rPr>
        <w:t xml:space="preserve"> 26.03.2003 № 35-ФЗ «Об электроэнергетике», в актуальной редакции;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12.05.2017 N 564 "Об утверждении Положения о составе и содержании документации по планировке территории, предусматривающей размещение одного или нескольких</w:t>
      </w:r>
      <w:r>
        <w:rPr>
          <w:color w:val="000000" w:themeColor="text1"/>
          <w:sz w:val="24"/>
          <w:szCs w:val="24"/>
        </w:rPr>
        <w:t xml:space="preserve"> линейных объектов";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26.08.2020 N 1285 "О внесении изменений в постановление Правительства Российской Федерации от 12 мая 2017 г. N 564 и признании утратившим силу абзаца шестого подпункта "г" пункта 2 изменений, которые в</w:t>
      </w:r>
      <w:r>
        <w:rPr>
          <w:color w:val="000000" w:themeColor="text1"/>
          <w:sz w:val="24"/>
          <w:szCs w:val="24"/>
        </w:rPr>
        <w:t>носятся в постановление Правительства Российской Федерации от 12 мая 2017 г. N 564, утвержденных постановлением Правительства Российской Федерации от 25 апреля 2020 г. N 586";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22.04.2017 N 485 "О составе материалов и резул</w:t>
      </w:r>
      <w:r>
        <w:rPr>
          <w:color w:val="000000" w:themeColor="text1"/>
          <w:sz w:val="24"/>
          <w:szCs w:val="24"/>
        </w:rPr>
        <w:t>ьтатов инженерных изысканий, подлежащих размещению в 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загрязнении, а также о форме и порядке их представ</w:t>
      </w:r>
      <w:r>
        <w:rPr>
          <w:color w:val="000000" w:themeColor="text1"/>
          <w:sz w:val="24"/>
          <w:szCs w:val="24"/>
        </w:rPr>
        <w:t>ления";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Постановление </w:t>
      </w:r>
      <w:r>
        <w:rPr>
          <w:color w:val="000000" w:themeColor="text1"/>
          <w:sz w:val="24"/>
          <w:szCs w:val="24"/>
        </w:rPr>
        <w:t>Правительства РФ от 16.02.2008г. № 87 «О составе разделов проектной документации и требованиях к их содержанию»;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05.03.2007 № 145 «О порядке организации и проведения государственной экспертизы проектной документации и резу</w:t>
      </w:r>
      <w:r>
        <w:rPr>
          <w:color w:val="000000" w:themeColor="text1"/>
          <w:sz w:val="24"/>
          <w:szCs w:val="24"/>
        </w:rPr>
        <w:t>льтатов инженерных изысканий»;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Приказ </w:t>
      </w:r>
      <w:proofErr w:type="spellStart"/>
      <w:r>
        <w:rPr>
          <w:color w:val="000000" w:themeColor="text1"/>
          <w:sz w:val="24"/>
          <w:szCs w:val="24"/>
        </w:rPr>
        <w:t>Росреестра</w:t>
      </w:r>
      <w:proofErr w:type="spellEnd"/>
      <w:r>
        <w:rPr>
          <w:color w:val="000000" w:themeColor="text1"/>
          <w:sz w:val="24"/>
          <w:szCs w:val="24"/>
        </w:rPr>
        <w:t xml:space="preserve"> от 13.01.2021 N П/0004 "Об установлении требований к графическому описанию местоположения границ публичного сервитута, точности </w:t>
      </w:r>
      <w:r>
        <w:rPr>
          <w:color w:val="000000" w:themeColor="text1"/>
          <w:sz w:val="24"/>
          <w:szCs w:val="24"/>
        </w:rPr>
        <w:lastRenderedPageBreak/>
        <w:t>определения координат характерных точек границ публичного сервитута, формату эл</w:t>
      </w:r>
      <w:r>
        <w:rPr>
          <w:color w:val="000000" w:themeColor="text1"/>
          <w:sz w:val="24"/>
          <w:szCs w:val="24"/>
        </w:rPr>
        <w:t>ектронного документа, содержащего указанные сведения";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Поправка к ГОСТ Р 21.1101-2013 "Система проектной документации для строительства. Основные требования к проектной и рабочей документации";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ГОСТ Р 32144-2013 «Электрическая энергия. Совместимость технич</w:t>
      </w:r>
      <w:r>
        <w:rPr>
          <w:color w:val="000000" w:themeColor="text1"/>
          <w:sz w:val="24"/>
          <w:szCs w:val="24"/>
        </w:rPr>
        <w:t>еских средств электромагнитная. Нормы качества электрической энергии в системах электроснабжения общего назначения»;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МДС 12-81.2007 Методические рекомендации по разработке и оформлению проекта организации строительства и проекта производства работ;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МДС 12-</w:t>
      </w:r>
      <w:r>
        <w:rPr>
          <w:color w:val="000000" w:themeColor="text1"/>
          <w:sz w:val="24"/>
          <w:szCs w:val="24"/>
        </w:rPr>
        <w:t>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Приказ №421/</w:t>
      </w:r>
      <w:proofErr w:type="spellStart"/>
      <w:r>
        <w:rPr>
          <w:color w:val="000000" w:themeColor="text1"/>
          <w:sz w:val="24"/>
          <w:szCs w:val="24"/>
        </w:rPr>
        <w:t>пр</w:t>
      </w:r>
      <w:proofErr w:type="spellEnd"/>
      <w:r>
        <w:rPr>
          <w:color w:val="000000" w:themeColor="text1"/>
          <w:sz w:val="24"/>
          <w:szCs w:val="24"/>
        </w:rPr>
        <w:t xml:space="preserve"> от 04.08.2020 об утверждении «Методики определения сметной стоимости </w:t>
      </w:r>
      <w:r>
        <w:rPr>
          <w:color w:val="000000" w:themeColor="text1"/>
          <w:sz w:val="24"/>
          <w:szCs w:val="24"/>
        </w:rPr>
        <w:t>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Приказ Минэне</w:t>
      </w:r>
      <w:r>
        <w:rPr>
          <w:color w:val="000000" w:themeColor="text1"/>
          <w:sz w:val="24"/>
          <w:szCs w:val="24"/>
        </w:rPr>
        <w:t>рго России от 04.10.2022 № 1070 «Об утверждении правил технической эксплуатации электрических станций и сетей Российской Федерации»;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ПУЭ (действующее издание);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ПТЭ (действующее издание);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РД 153-34.0-20.409-99 «Руководящие указания об определении понятий и </w:t>
      </w:r>
      <w:r>
        <w:rPr>
          <w:color w:val="000000" w:themeColor="text1"/>
          <w:sz w:val="24"/>
          <w:szCs w:val="24"/>
        </w:rPr>
        <w:t xml:space="preserve">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перевооружению»; 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СТО 56947007-29.240.10.248-2017.Нормы технологического проектирования ПС переменного то</w:t>
      </w:r>
      <w:r>
        <w:rPr>
          <w:color w:val="000000" w:themeColor="text1"/>
          <w:sz w:val="24"/>
          <w:szCs w:val="24"/>
        </w:rPr>
        <w:t xml:space="preserve">ка с высшим напряжением 35-750 </w:t>
      </w:r>
      <w:proofErr w:type="spellStart"/>
      <w:r>
        <w:rPr>
          <w:color w:val="000000" w:themeColor="text1"/>
          <w:sz w:val="24"/>
          <w:szCs w:val="24"/>
        </w:rPr>
        <w:t>кВ</w:t>
      </w:r>
      <w:proofErr w:type="spellEnd"/>
      <w:r>
        <w:rPr>
          <w:color w:val="000000" w:themeColor="text1"/>
          <w:sz w:val="24"/>
          <w:szCs w:val="24"/>
        </w:rPr>
        <w:t>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СТО 56947007-29.240.55.192-2014. Нормы технологического проектирования ВЛ электропередачи напряжением 35-750 </w:t>
      </w:r>
      <w:proofErr w:type="spellStart"/>
      <w:r>
        <w:rPr>
          <w:color w:val="000000" w:themeColor="text1"/>
          <w:sz w:val="24"/>
          <w:szCs w:val="24"/>
        </w:rPr>
        <w:t>кВ</w:t>
      </w:r>
      <w:proofErr w:type="spellEnd"/>
      <w:r>
        <w:rPr>
          <w:color w:val="000000" w:themeColor="text1"/>
          <w:sz w:val="24"/>
          <w:szCs w:val="24"/>
        </w:rPr>
        <w:t>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СНиП 12-01-2004 Организация строительства. Актуализированная редакция;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Требования к оснащению линий электроп</w:t>
      </w:r>
      <w:r>
        <w:rPr>
          <w:color w:val="000000" w:themeColor="text1"/>
          <w:sz w:val="24"/>
          <w:szCs w:val="24"/>
        </w:rPr>
        <w:t xml:space="preserve">ередачи и оборудования объектов электроэнергетики классом 110 </w:t>
      </w:r>
      <w:proofErr w:type="spellStart"/>
      <w:r>
        <w:rPr>
          <w:color w:val="000000" w:themeColor="text1"/>
          <w:sz w:val="24"/>
          <w:szCs w:val="24"/>
        </w:rPr>
        <w:t>кВ</w:t>
      </w:r>
      <w:proofErr w:type="spellEnd"/>
      <w:r>
        <w:rPr>
          <w:color w:val="000000" w:themeColor="text1"/>
          <w:sz w:val="24"/>
          <w:szCs w:val="24"/>
        </w:rPr>
        <w:t xml:space="preserve"> и выше устройствами и комплексами релейной защиты и автоматики, а также к принципам функционирования устройств и комплексов релейной защиты и автоматики, утвержденных приказом Минэнерго Росси</w:t>
      </w:r>
      <w:r>
        <w:rPr>
          <w:color w:val="000000" w:themeColor="text1"/>
          <w:sz w:val="24"/>
          <w:szCs w:val="24"/>
        </w:rPr>
        <w:t>и от 13.02.2019 № 101;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Требования к каналам связи для функционирования релейной защиты и автоматики;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Требования к обеспечению надежности электроэнергетических систем, надежности и безопасности объектов электроэнергетики и </w:t>
      </w:r>
      <w:proofErr w:type="spellStart"/>
      <w:r>
        <w:rPr>
          <w:color w:val="000000" w:themeColor="text1"/>
          <w:sz w:val="24"/>
          <w:szCs w:val="24"/>
        </w:rPr>
        <w:t>энергопринимающих</w:t>
      </w:r>
      <w:proofErr w:type="spellEnd"/>
      <w:r>
        <w:rPr>
          <w:color w:val="000000" w:themeColor="text1"/>
          <w:sz w:val="24"/>
          <w:szCs w:val="24"/>
        </w:rPr>
        <w:t xml:space="preserve"> установок «Метод</w:t>
      </w:r>
      <w:r>
        <w:rPr>
          <w:color w:val="000000" w:themeColor="text1"/>
          <w:sz w:val="24"/>
          <w:szCs w:val="24"/>
        </w:rPr>
        <w:t>ические указания по устойчивости энергосистем», утвержденные приказом Минэнерго РФ от 03.08.2018 № 630;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szCs w:val="26"/>
        </w:rPr>
        <w:t>«</w:t>
      </w:r>
      <w:r>
        <w:rPr>
          <w:rFonts w:eastAsiaTheme="minorHAnsi"/>
          <w:sz w:val="24"/>
          <w:szCs w:val="24"/>
          <w:lang w:eastAsia="en-US"/>
        </w:rPr>
        <w:t xml:space="preserve">Методические указания по проектированию развития энергосистем», утвержденные Приказом Минэнерго РФ  </w:t>
      </w:r>
      <w:r>
        <w:rPr>
          <w:iCs/>
          <w:szCs w:val="26"/>
        </w:rPr>
        <w:t xml:space="preserve"> от 06.12.2022 № 1286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Порядок раскрытия цифровых </w:t>
      </w:r>
      <w:r>
        <w:rPr>
          <w:sz w:val="24"/>
          <w:szCs w:val="24"/>
        </w:rPr>
        <w:t>информационных моделей электроэнергетических систем и предоставления системным оператором иным субъектам электроэнергетики, потребителям электрической энергии и проектным организациям перспективных расчетных моделей электроэнергетических систем или фрагмен</w:t>
      </w:r>
      <w:r>
        <w:rPr>
          <w:sz w:val="24"/>
          <w:szCs w:val="24"/>
        </w:rPr>
        <w:t>тов таких моделей для целей перспективного развития электроэнергетики, утвержденного приказом Минэнерго России от 17.02.2023 № 82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iCs/>
          <w:sz w:val="24"/>
          <w:szCs w:val="24"/>
        </w:rPr>
        <w:t>Правила предоставления информации, необходимой для осуществления оперативно-диспетчерского управления в электроэнергетике, утв</w:t>
      </w:r>
      <w:r>
        <w:rPr>
          <w:iCs/>
          <w:sz w:val="24"/>
          <w:szCs w:val="24"/>
        </w:rPr>
        <w:t>ержденным приказом Минэнерго России от 20.12.2022 № 1340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Национальный стандарт Российской Федерации ГОСТ Р 55105-2019 «Единая энергетическая система и изолированно работающие энергосистемы. Оперативно-диспетчерское управление. Автоматическое противоаварийн</w:t>
      </w:r>
      <w:r>
        <w:rPr>
          <w:color w:val="000000" w:themeColor="text1"/>
          <w:sz w:val="24"/>
          <w:szCs w:val="24"/>
        </w:rPr>
        <w:t xml:space="preserve">ое управление режимами энергосистем. Противоаварийная автоматика энергосистем. Нормы и требования», утвержденный приказом </w:t>
      </w:r>
      <w:proofErr w:type="spellStart"/>
      <w:r>
        <w:rPr>
          <w:color w:val="000000" w:themeColor="text1"/>
          <w:sz w:val="24"/>
          <w:szCs w:val="24"/>
        </w:rPr>
        <w:t>Росстандарта</w:t>
      </w:r>
      <w:proofErr w:type="spellEnd"/>
      <w:r>
        <w:rPr>
          <w:color w:val="000000" w:themeColor="text1"/>
          <w:sz w:val="24"/>
          <w:szCs w:val="24"/>
        </w:rPr>
        <w:t xml:space="preserve"> от 26.12.2019 № 1484-ст;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56302-2014 «Единая энергетическая система и из</w:t>
      </w:r>
      <w:r>
        <w:rPr>
          <w:color w:val="000000" w:themeColor="text1"/>
          <w:sz w:val="24"/>
          <w:szCs w:val="24"/>
        </w:rPr>
        <w:t xml:space="preserve">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требования», утвержденный приказом </w:t>
      </w:r>
      <w:proofErr w:type="spellStart"/>
      <w:r>
        <w:rPr>
          <w:color w:val="000000" w:themeColor="text1"/>
          <w:sz w:val="24"/>
          <w:szCs w:val="24"/>
        </w:rPr>
        <w:t>Росстандарта</w:t>
      </w:r>
      <w:proofErr w:type="spellEnd"/>
      <w:r>
        <w:rPr>
          <w:color w:val="000000" w:themeColor="text1"/>
          <w:sz w:val="24"/>
          <w:szCs w:val="24"/>
        </w:rPr>
        <w:t xml:space="preserve"> от 12.12.2014 № 1983-ст;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</w:t>
      </w:r>
      <w:r>
        <w:rPr>
          <w:color w:val="000000" w:themeColor="text1"/>
          <w:sz w:val="24"/>
          <w:szCs w:val="24"/>
        </w:rPr>
        <w:t>альный стандарт Российской Федерации ГОСТ Р 57114-2022 «Единая энергетическая система и изолированно работающие энергосистемы. Электроэнергетические системы. Оперативно-диспетчерское управление в электроэнергетике и оперативно-технологическое управление. Т</w:t>
      </w:r>
      <w:r>
        <w:rPr>
          <w:color w:val="000000" w:themeColor="text1"/>
          <w:sz w:val="24"/>
          <w:szCs w:val="24"/>
        </w:rPr>
        <w:t xml:space="preserve">ермины и определения», утвержденный приказом </w:t>
      </w:r>
      <w:proofErr w:type="spellStart"/>
      <w:r>
        <w:rPr>
          <w:color w:val="000000" w:themeColor="text1"/>
          <w:sz w:val="24"/>
          <w:szCs w:val="24"/>
        </w:rPr>
        <w:t>Росстандарта</w:t>
      </w:r>
      <w:proofErr w:type="spellEnd"/>
      <w:r>
        <w:rPr>
          <w:color w:val="000000" w:themeColor="text1"/>
          <w:sz w:val="24"/>
          <w:szCs w:val="24"/>
        </w:rPr>
        <w:t xml:space="preserve"> от 29.12.2022 №1683-ст;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59909-2021 «Единая энергетическая система и изолированно работающие энергосистемы. Релейная защита и автоматика. Классификац</w:t>
      </w:r>
      <w:r>
        <w:rPr>
          <w:color w:val="000000" w:themeColor="text1"/>
          <w:sz w:val="24"/>
          <w:szCs w:val="24"/>
        </w:rPr>
        <w:t xml:space="preserve">ия», утвержденный приказом </w:t>
      </w:r>
      <w:proofErr w:type="spellStart"/>
      <w:r>
        <w:rPr>
          <w:color w:val="000000" w:themeColor="text1"/>
          <w:sz w:val="24"/>
          <w:szCs w:val="24"/>
        </w:rPr>
        <w:t>Росстандарта</w:t>
      </w:r>
      <w:proofErr w:type="spellEnd"/>
      <w:r>
        <w:rPr>
          <w:color w:val="000000" w:themeColor="text1"/>
          <w:sz w:val="24"/>
          <w:szCs w:val="24"/>
        </w:rPr>
        <w:t xml:space="preserve"> от 30.11.2021 №1649-ст;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59550-2021 «Единая энергетическая система и изолированно работающие энергосистемы. Релейная защита и автоматика. Сбор, хранение и передача в д</w:t>
      </w:r>
      <w:r>
        <w:rPr>
          <w:color w:val="000000" w:themeColor="text1"/>
          <w:sz w:val="24"/>
          <w:szCs w:val="24"/>
        </w:rPr>
        <w:t xml:space="preserve">испетчерские центры в автоматическом режиме файлов с данными регистрации аварийных событий. Нормы и требования», утвержденный приказом </w:t>
      </w:r>
      <w:proofErr w:type="spellStart"/>
      <w:r>
        <w:rPr>
          <w:color w:val="000000" w:themeColor="text1"/>
          <w:sz w:val="24"/>
          <w:szCs w:val="24"/>
        </w:rPr>
        <w:t>Росстандарта</w:t>
      </w:r>
      <w:proofErr w:type="spellEnd"/>
      <w:r>
        <w:rPr>
          <w:color w:val="000000" w:themeColor="text1"/>
          <w:sz w:val="24"/>
          <w:szCs w:val="24"/>
        </w:rPr>
        <w:t xml:space="preserve"> от 03.06.2021 № 504-ст.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Межгосударственный стандарт ГОСТ 34045-2017 «Электроэнергетические системы. Оператив</w:t>
      </w:r>
      <w:r>
        <w:rPr>
          <w:color w:val="000000" w:themeColor="text1"/>
          <w:sz w:val="24"/>
          <w:szCs w:val="24"/>
        </w:rPr>
        <w:t xml:space="preserve">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в качестве национального стандарта приказом </w:t>
      </w:r>
      <w:proofErr w:type="spellStart"/>
      <w:r>
        <w:rPr>
          <w:color w:val="000000" w:themeColor="text1"/>
          <w:sz w:val="24"/>
          <w:szCs w:val="24"/>
        </w:rPr>
        <w:t>Росстандарта</w:t>
      </w:r>
      <w:proofErr w:type="spellEnd"/>
      <w:r>
        <w:rPr>
          <w:color w:val="000000" w:themeColor="text1"/>
          <w:sz w:val="24"/>
          <w:szCs w:val="24"/>
        </w:rPr>
        <w:t xml:space="preserve"> от 09.03.2017 № 103-ст;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Правила создания (модернизации) комплексов и устройств релейной защиты и автоматики в энергосистеме, утвержденные приказом Минэнерго России от 13.07.2020 № 556;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Требования к релейной защите и автоматике различных видов и ее функционированию в составе энерг</w:t>
      </w:r>
      <w:r>
        <w:rPr>
          <w:color w:val="000000" w:themeColor="text1"/>
          <w:sz w:val="24"/>
          <w:szCs w:val="24"/>
        </w:rPr>
        <w:t>осистемы, утверждённые приказом Минэнерго РФ от 10.07.2020 № 546;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Правила технологического функционирования электроэнергетических систем и о внесении изменений в некоторые акты Правительства РФ, утвержденные постановлением Правительства РФ от 13.08.2018 № </w:t>
      </w:r>
      <w:r>
        <w:rPr>
          <w:color w:val="000000" w:themeColor="text1"/>
          <w:sz w:val="24"/>
          <w:szCs w:val="24"/>
        </w:rPr>
        <w:t>937;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Национальный стандарт Российской Федерации ГОСТ Р 58982-2020 «Единая энергетическая система и изолированно работающие энергосистемы. Релейная защита и автоматика. Направленная высокочастотная защита линий электропередачи классом напряжения 110–220 </w:t>
      </w:r>
      <w:proofErr w:type="spellStart"/>
      <w:r>
        <w:rPr>
          <w:color w:val="000000" w:themeColor="text1"/>
          <w:sz w:val="24"/>
          <w:szCs w:val="24"/>
        </w:rPr>
        <w:t>кВ.</w:t>
      </w:r>
      <w:proofErr w:type="spellEnd"/>
      <w:r>
        <w:rPr>
          <w:color w:val="000000" w:themeColor="text1"/>
          <w:sz w:val="24"/>
          <w:szCs w:val="24"/>
        </w:rPr>
        <w:t xml:space="preserve"> Функциональные требования», утвержденный приказом </w:t>
      </w:r>
      <w:proofErr w:type="spellStart"/>
      <w:r>
        <w:rPr>
          <w:color w:val="000000" w:themeColor="text1"/>
          <w:sz w:val="24"/>
          <w:szCs w:val="24"/>
        </w:rPr>
        <w:t>Росстандарта</w:t>
      </w:r>
      <w:proofErr w:type="spellEnd"/>
      <w:r>
        <w:rPr>
          <w:color w:val="000000" w:themeColor="text1"/>
          <w:sz w:val="24"/>
          <w:szCs w:val="24"/>
        </w:rPr>
        <w:t xml:space="preserve"> от 27.08.2020 № 574-ст;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58981-2020 «Единая энергетическая система и изолированно работающие энергосистемы. Релейная защита и автоматика. Диффе</w:t>
      </w:r>
      <w:r>
        <w:rPr>
          <w:color w:val="000000" w:themeColor="text1"/>
          <w:sz w:val="24"/>
          <w:szCs w:val="24"/>
        </w:rPr>
        <w:t xml:space="preserve">ренциально-фазная защита линий электропередачи классом напряжения 110–220 </w:t>
      </w:r>
      <w:proofErr w:type="spellStart"/>
      <w:r>
        <w:rPr>
          <w:color w:val="000000" w:themeColor="text1"/>
          <w:sz w:val="24"/>
          <w:szCs w:val="24"/>
        </w:rPr>
        <w:t>кВ.</w:t>
      </w:r>
      <w:proofErr w:type="spellEnd"/>
      <w:r>
        <w:rPr>
          <w:color w:val="000000" w:themeColor="text1"/>
          <w:sz w:val="24"/>
          <w:szCs w:val="24"/>
        </w:rPr>
        <w:t xml:space="preserve"> Функциональные требования», утвержденный приказом </w:t>
      </w:r>
      <w:proofErr w:type="spellStart"/>
      <w:r>
        <w:rPr>
          <w:color w:val="000000" w:themeColor="text1"/>
          <w:sz w:val="24"/>
          <w:szCs w:val="24"/>
        </w:rPr>
        <w:t>Росстандарта</w:t>
      </w:r>
      <w:proofErr w:type="spellEnd"/>
      <w:r>
        <w:rPr>
          <w:color w:val="000000" w:themeColor="text1"/>
          <w:sz w:val="24"/>
          <w:szCs w:val="24"/>
        </w:rPr>
        <w:t xml:space="preserve"> от 27.08.2020 № 573-ст;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58979-2020 «Единая энергетическая система</w:t>
      </w:r>
      <w:r>
        <w:rPr>
          <w:color w:val="000000" w:themeColor="text1"/>
          <w:sz w:val="24"/>
          <w:szCs w:val="24"/>
        </w:rPr>
        <w:t xml:space="preserve"> и изолированно работающие энергосистемы. Релейная защита и автоматика. Дифференциальная защита линий электропередачи классом напряжения 110–220 </w:t>
      </w:r>
      <w:proofErr w:type="spellStart"/>
      <w:r>
        <w:rPr>
          <w:color w:val="000000" w:themeColor="text1"/>
          <w:sz w:val="24"/>
          <w:szCs w:val="24"/>
        </w:rPr>
        <w:t>кВ.</w:t>
      </w:r>
      <w:proofErr w:type="spellEnd"/>
      <w:r>
        <w:rPr>
          <w:color w:val="000000" w:themeColor="text1"/>
          <w:sz w:val="24"/>
          <w:szCs w:val="24"/>
        </w:rPr>
        <w:t xml:space="preserve"> Функциональные требования», утвержденный приказом </w:t>
      </w:r>
      <w:proofErr w:type="spellStart"/>
      <w:r>
        <w:rPr>
          <w:color w:val="000000" w:themeColor="text1"/>
          <w:sz w:val="24"/>
          <w:szCs w:val="24"/>
        </w:rPr>
        <w:t>Росстандарта</w:t>
      </w:r>
      <w:proofErr w:type="spellEnd"/>
      <w:r>
        <w:rPr>
          <w:color w:val="000000" w:themeColor="text1"/>
          <w:sz w:val="24"/>
          <w:szCs w:val="24"/>
        </w:rPr>
        <w:t xml:space="preserve"> от 27.08.2020 № 571-ст;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Национальный стандар</w:t>
      </w:r>
      <w:r>
        <w:rPr>
          <w:color w:val="000000" w:themeColor="text1"/>
          <w:sz w:val="24"/>
          <w:szCs w:val="24"/>
        </w:rPr>
        <w:t xml:space="preserve">т Российской Федерации ГОСТ Р 58887-2020 «Единая энергетическая система и изолированно работающие энергосистемы. Релейная защита и автоматика. Дистанционная и токовые защиты линий электропередачи и оборудования классом напряжения 110–220 </w:t>
      </w:r>
      <w:proofErr w:type="spellStart"/>
      <w:r>
        <w:rPr>
          <w:color w:val="000000" w:themeColor="text1"/>
          <w:sz w:val="24"/>
          <w:szCs w:val="24"/>
        </w:rPr>
        <w:t>кВ.</w:t>
      </w:r>
      <w:proofErr w:type="spellEnd"/>
      <w:r>
        <w:rPr>
          <w:color w:val="000000" w:themeColor="text1"/>
          <w:sz w:val="24"/>
          <w:szCs w:val="24"/>
        </w:rPr>
        <w:t xml:space="preserve"> Функциональные</w:t>
      </w:r>
      <w:r>
        <w:rPr>
          <w:color w:val="000000" w:themeColor="text1"/>
          <w:sz w:val="24"/>
          <w:szCs w:val="24"/>
        </w:rPr>
        <w:t xml:space="preserve"> требования», утвержденный приказом </w:t>
      </w:r>
      <w:proofErr w:type="spellStart"/>
      <w:r>
        <w:rPr>
          <w:color w:val="000000" w:themeColor="text1"/>
          <w:sz w:val="24"/>
          <w:szCs w:val="24"/>
        </w:rPr>
        <w:t>Росстандарта</w:t>
      </w:r>
      <w:proofErr w:type="spellEnd"/>
      <w:r>
        <w:rPr>
          <w:color w:val="000000" w:themeColor="text1"/>
          <w:sz w:val="24"/>
          <w:szCs w:val="24"/>
        </w:rPr>
        <w:t xml:space="preserve"> от 27.08.2020 № 569-ст;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58601-2019 «Единая энергетическая система и изолированно работающие энергосистемы. Оперативно-диспетчерское управление. Релейная защи</w:t>
      </w:r>
      <w:r>
        <w:rPr>
          <w:color w:val="000000" w:themeColor="text1"/>
          <w:sz w:val="24"/>
          <w:szCs w:val="24"/>
        </w:rPr>
        <w:t xml:space="preserve">та и автоматика. Автономные регистраторы аварийных событий. Нормы и требования», утвержденный приказом </w:t>
      </w:r>
      <w:proofErr w:type="spellStart"/>
      <w:r>
        <w:rPr>
          <w:color w:val="000000" w:themeColor="text1"/>
          <w:sz w:val="24"/>
          <w:szCs w:val="24"/>
        </w:rPr>
        <w:t>Росстандарта</w:t>
      </w:r>
      <w:proofErr w:type="spellEnd"/>
      <w:r>
        <w:rPr>
          <w:color w:val="000000" w:themeColor="text1"/>
          <w:sz w:val="24"/>
          <w:szCs w:val="24"/>
        </w:rPr>
        <w:t xml:space="preserve"> от 15.10.2019 № 995-ст;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58057-2018 «Единая энергетическая система и изолированно работающи</w:t>
      </w:r>
      <w:r>
        <w:rPr>
          <w:color w:val="000000" w:themeColor="text1"/>
          <w:sz w:val="24"/>
          <w:szCs w:val="24"/>
        </w:rPr>
        <w:t xml:space="preserve">е энергосистемы. Планирование развития энергосистем. Общие требования», утвержденный приказом </w:t>
      </w:r>
      <w:proofErr w:type="spellStart"/>
      <w:r>
        <w:rPr>
          <w:color w:val="000000" w:themeColor="text1"/>
          <w:sz w:val="24"/>
          <w:szCs w:val="24"/>
        </w:rPr>
        <w:t>Росстандарта</w:t>
      </w:r>
      <w:proofErr w:type="spellEnd"/>
      <w:r>
        <w:rPr>
          <w:color w:val="000000" w:themeColor="text1"/>
          <w:sz w:val="24"/>
          <w:szCs w:val="24"/>
        </w:rPr>
        <w:t xml:space="preserve"> от 13.03.2018 № 128-ст.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Техническая политика Группы </w:t>
      </w:r>
      <w:proofErr w:type="spellStart"/>
      <w:r>
        <w:rPr>
          <w:color w:val="000000" w:themeColor="text1"/>
          <w:sz w:val="24"/>
          <w:szCs w:val="24"/>
        </w:rPr>
        <w:t>РусГидро</w:t>
      </w:r>
      <w:proofErr w:type="spellEnd"/>
      <w:r>
        <w:rPr>
          <w:color w:val="000000" w:themeColor="text1"/>
          <w:sz w:val="24"/>
          <w:szCs w:val="24"/>
        </w:rPr>
        <w:t>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Региональная карта климатического районирования Приморского края по максимальной ветров</w:t>
      </w:r>
      <w:r>
        <w:rPr>
          <w:color w:val="000000" w:themeColor="text1"/>
          <w:sz w:val="24"/>
          <w:szCs w:val="24"/>
        </w:rPr>
        <w:t xml:space="preserve">ой нагрузке при гололеде с вероятностью </w:t>
      </w:r>
      <w:proofErr w:type="spellStart"/>
      <w:r>
        <w:rPr>
          <w:color w:val="000000" w:themeColor="text1"/>
          <w:sz w:val="24"/>
          <w:szCs w:val="24"/>
        </w:rPr>
        <w:t>непревышения</w:t>
      </w:r>
      <w:proofErr w:type="spellEnd"/>
      <w:r>
        <w:rPr>
          <w:color w:val="000000" w:themeColor="text1"/>
          <w:sz w:val="24"/>
          <w:szCs w:val="24"/>
        </w:rPr>
        <w:t xml:space="preserve"> 0,96 (повторяемостью 1 раз в 25 лет) и региональная карта климатического районирования Приморского края по максимальной толщине стенки гололеда с вероятностью </w:t>
      </w:r>
      <w:proofErr w:type="spellStart"/>
      <w:r>
        <w:rPr>
          <w:color w:val="000000" w:themeColor="text1"/>
          <w:sz w:val="24"/>
          <w:szCs w:val="24"/>
        </w:rPr>
        <w:t>непревышения</w:t>
      </w:r>
      <w:proofErr w:type="spellEnd"/>
      <w:r>
        <w:rPr>
          <w:color w:val="000000" w:themeColor="text1"/>
          <w:sz w:val="24"/>
          <w:szCs w:val="24"/>
        </w:rPr>
        <w:t xml:space="preserve"> 0,96 (повторяемостью 1 раз в 25</w:t>
      </w:r>
      <w:r>
        <w:rPr>
          <w:color w:val="000000" w:themeColor="text1"/>
          <w:sz w:val="24"/>
          <w:szCs w:val="24"/>
        </w:rPr>
        <w:t xml:space="preserve"> лет), введенных в действие приказом АО «ДРСК» от 15.04.2021 № 163 «О вводе в действие региональных карт климатического районирования Приморского края» 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Правила организации учета электрической энергии на розничных рынках, утв. Постановлением Правительства </w:t>
      </w:r>
      <w:r>
        <w:rPr>
          <w:color w:val="000000" w:themeColor="text1"/>
          <w:sz w:val="24"/>
          <w:szCs w:val="24"/>
        </w:rPr>
        <w:t>РФ от 04.05.2012 N 442 (ред. от 29.12.2020) "О функционировании розничных рынков электрической энергии, полном и (или) частичном ограничении режима потребления электрической энергии" (вместе с "Основными положениями функционирования розничных рынков электр</w:t>
      </w:r>
      <w:r>
        <w:rPr>
          <w:color w:val="000000" w:themeColor="text1"/>
          <w:sz w:val="24"/>
          <w:szCs w:val="24"/>
        </w:rPr>
        <w:t>ической энергии", "Правилами полного и (или) частичного ограничения режима потребления электрической энергии") (с изм. и доп., вступ. в силу с 07.01.2021).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19 июня 2020 г. N 890 «О порядке предоставления доступа к минималь</w:t>
      </w:r>
      <w:r>
        <w:rPr>
          <w:color w:val="000000" w:themeColor="text1"/>
          <w:sz w:val="24"/>
          <w:szCs w:val="24"/>
        </w:rPr>
        <w:t>ному набору функций интеллектуальных систем учета электрической энергии (мощности)»;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Нормы отвода земель для электрических сетей напряжением 0,38 - 750 </w:t>
      </w:r>
      <w:proofErr w:type="spellStart"/>
      <w:r>
        <w:rPr>
          <w:color w:val="000000" w:themeColor="text1"/>
          <w:sz w:val="24"/>
          <w:szCs w:val="24"/>
        </w:rPr>
        <w:t>кВ.</w:t>
      </w:r>
      <w:proofErr w:type="spellEnd"/>
      <w:r>
        <w:rPr>
          <w:color w:val="000000" w:themeColor="text1"/>
          <w:sz w:val="24"/>
          <w:szCs w:val="24"/>
        </w:rPr>
        <w:t xml:space="preserve"> N 14278ТМ-Т1 (утв. Минтопэнерго 20.05.1994);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24.02.2009 N 160 "О п</w:t>
      </w:r>
      <w:r>
        <w:rPr>
          <w:color w:val="000000" w:themeColor="text1"/>
          <w:sz w:val="24"/>
          <w:szCs w:val="24"/>
        </w:rPr>
        <w:t>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Приказ </w:t>
      </w:r>
      <w:proofErr w:type="spellStart"/>
      <w:r>
        <w:rPr>
          <w:color w:val="000000" w:themeColor="text1"/>
          <w:sz w:val="24"/>
          <w:szCs w:val="24"/>
        </w:rPr>
        <w:t>Ростехнадзора</w:t>
      </w:r>
      <w:proofErr w:type="spellEnd"/>
      <w:r>
        <w:rPr>
          <w:color w:val="000000" w:themeColor="text1"/>
          <w:sz w:val="24"/>
          <w:szCs w:val="24"/>
        </w:rPr>
        <w:t xml:space="preserve"> от 17.01.2013 N 9 "Об утверждении Порядка согласования Федеральной службой по э</w:t>
      </w:r>
      <w:r>
        <w:rPr>
          <w:color w:val="000000" w:themeColor="text1"/>
          <w:sz w:val="24"/>
          <w:szCs w:val="24"/>
        </w:rPr>
        <w:t>кологическому, технологическому и атомному надзору границ охранных зон в отношении объектов электросетевого хозяйства";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Постановление Администрации Приморского края от 09.09.2015 N 336-па «Об утверждении Порядка и условий размещения объектов на землях или </w:t>
      </w:r>
      <w:r>
        <w:rPr>
          <w:color w:val="000000" w:themeColor="text1"/>
          <w:sz w:val="24"/>
          <w:szCs w:val="24"/>
        </w:rPr>
        <w:t>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Приморского края»;</w:t>
      </w:r>
    </w:p>
    <w:p w:rsidR="00622932" w:rsidRDefault="001C6928">
      <w:pPr>
        <w:pStyle w:val="af7"/>
        <w:numPr>
          <w:ilvl w:val="0"/>
          <w:numId w:val="1"/>
        </w:numPr>
        <w:spacing w:before="0"/>
        <w:contextualSpacing w:val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Административные регламенты Администрации </w:t>
      </w:r>
      <w:proofErr w:type="spellStart"/>
      <w:r>
        <w:rPr>
          <w:color w:val="000000" w:themeColor="text1"/>
          <w:sz w:val="24"/>
          <w:szCs w:val="24"/>
        </w:rPr>
        <w:t>г.Владивостока</w:t>
      </w:r>
      <w:proofErr w:type="spellEnd"/>
    </w:p>
    <w:p w:rsidR="00622932" w:rsidRDefault="00622932">
      <w:pPr>
        <w:jc w:val="left"/>
        <w:rPr>
          <w:color w:val="000000" w:themeColor="text1"/>
          <w:sz w:val="24"/>
          <w:szCs w:val="24"/>
        </w:rPr>
      </w:pPr>
    </w:p>
    <w:p w:rsidR="00622932" w:rsidRDefault="00622932">
      <w:pPr>
        <w:jc w:val="left"/>
        <w:rPr>
          <w:color w:val="000000" w:themeColor="text1"/>
          <w:sz w:val="24"/>
          <w:szCs w:val="24"/>
        </w:rPr>
      </w:pPr>
    </w:p>
    <w:p w:rsidR="00622932" w:rsidRDefault="001C6928">
      <w:pPr>
        <w:ind w:firstLine="426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Данный список НТД</w:t>
      </w:r>
      <w:r>
        <w:rPr>
          <w:color w:val="000000" w:themeColor="text1"/>
          <w:sz w:val="24"/>
          <w:szCs w:val="24"/>
        </w:rPr>
        <w:t xml:space="preserve"> не является полным и окончательным. При проектировании необходимо руководствоваться последними редакциями нормативно-технических и законодательных документов РФ, необходимых и действующих на момент разработки проектной документации.</w:t>
      </w:r>
    </w:p>
    <w:sectPr w:rsidR="00622932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ohit Devanagar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07033"/>
    <w:multiLevelType w:val="multilevel"/>
    <w:tmpl w:val="243EAE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4A16850"/>
    <w:multiLevelType w:val="multilevel"/>
    <w:tmpl w:val="411647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932"/>
    <w:rsid w:val="001C6928"/>
    <w:rsid w:val="00622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9D92F"/>
  <w15:docId w15:val="{40E462AC-4F3F-4B64-B106-4E887F7B3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6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3">
    <w:name w:val="Символ сноски"/>
    <w:uiPriority w:val="99"/>
    <w:unhideWhenUsed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6">
    <w:name w:val="endnote reference"/>
    <w:rPr>
      <w:vertAlign w:val="superscript"/>
    </w:rPr>
  </w:style>
  <w:style w:type="character" w:styleId="a7">
    <w:name w:val="Hyperlink"/>
    <w:rPr>
      <w:color w:val="0000FF"/>
      <w:u w:val="single"/>
    </w:rPr>
  </w:style>
  <w:style w:type="character" w:customStyle="1" w:styleId="hl">
    <w:name w:val="hl"/>
    <w:basedOn w:val="a0"/>
    <w:qFormat/>
  </w:style>
  <w:style w:type="paragraph" w:styleId="a8">
    <w:name w:val="Title"/>
    <w:basedOn w:val="a"/>
    <w:next w:val="a9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9">
    <w:name w:val="Body Text"/>
    <w:basedOn w:val="a"/>
    <w:pPr>
      <w:spacing w:before="0" w:after="140" w:line="276" w:lineRule="auto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c">
    <w:name w:val="index heading"/>
    <w:basedOn w:val="a8"/>
  </w:style>
  <w:style w:type="paragraph" w:styleId="ad">
    <w:name w:val="No Spacing"/>
    <w:uiPriority w:val="1"/>
    <w:qFormat/>
  </w:style>
  <w:style w:type="paragraph" w:styleId="ae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0">
    <w:name w:val="Quote"/>
    <w:basedOn w:val="a"/>
    <w:uiPriority w:val="29"/>
    <w:qFormat/>
    <w:pPr>
      <w:ind w:left="720" w:right="720"/>
    </w:pPr>
    <w:rPr>
      <w:i/>
    </w:rPr>
  </w:style>
  <w:style w:type="paragraph" w:styleId="af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160"/>
      <w:ind w:left="720" w:right="720"/>
    </w:pPr>
    <w:rPr>
      <w:i/>
    </w:rPr>
  </w:style>
  <w:style w:type="paragraph" w:customStyle="1" w:styleId="af0">
    <w:name w:val="Колонтитул"/>
    <w:basedOn w:val="a"/>
    <w:qFormat/>
  </w:style>
  <w:style w:type="paragraph" w:styleId="af1">
    <w:name w:val="header"/>
    <w:basedOn w:val="a"/>
    <w:uiPriority w:val="99"/>
    <w:unhideWhenUsed/>
    <w:pPr>
      <w:tabs>
        <w:tab w:val="center" w:pos="7143"/>
        <w:tab w:val="right" w:pos="14287"/>
      </w:tabs>
      <w:spacing w:before="0"/>
    </w:pPr>
  </w:style>
  <w:style w:type="paragraph" w:styleId="af2">
    <w:name w:val="footer"/>
    <w:basedOn w:val="a"/>
    <w:uiPriority w:val="99"/>
    <w:unhideWhenUsed/>
    <w:pPr>
      <w:tabs>
        <w:tab w:val="center" w:pos="7143"/>
        <w:tab w:val="right" w:pos="14287"/>
      </w:tabs>
      <w:spacing w:before="0"/>
    </w:pPr>
  </w:style>
  <w:style w:type="paragraph" w:styleId="af3">
    <w:name w:val="footnote text"/>
    <w:basedOn w:val="a"/>
    <w:uiPriority w:val="99"/>
    <w:semiHidden/>
    <w:unhideWhenUsed/>
    <w:pPr>
      <w:spacing w:before="0" w:after="40"/>
    </w:pPr>
    <w:rPr>
      <w:sz w:val="18"/>
    </w:rPr>
  </w:style>
  <w:style w:type="paragraph" w:styleId="af4">
    <w:name w:val="endnote text"/>
    <w:basedOn w:val="a"/>
    <w:uiPriority w:val="99"/>
    <w:semiHidden/>
    <w:unhideWhenUsed/>
    <w:pPr>
      <w:spacing w:before="0"/>
    </w:pPr>
    <w:rPr>
      <w:sz w:val="20"/>
    </w:rPr>
  </w:style>
  <w:style w:type="paragraph" w:styleId="10">
    <w:name w:val="toc 1"/>
    <w:basedOn w:val="a"/>
    <w:uiPriority w:val="39"/>
    <w:unhideWhenUsed/>
    <w:pPr>
      <w:spacing w:before="0" w:after="57"/>
    </w:pPr>
  </w:style>
  <w:style w:type="paragraph" w:styleId="21">
    <w:name w:val="toc 2"/>
    <w:basedOn w:val="a"/>
    <w:uiPriority w:val="39"/>
    <w:unhideWhenUsed/>
    <w:pPr>
      <w:spacing w:before="0" w:after="57"/>
      <w:ind w:left="283"/>
    </w:pPr>
  </w:style>
  <w:style w:type="paragraph" w:styleId="30">
    <w:name w:val="toc 3"/>
    <w:basedOn w:val="a"/>
    <w:uiPriority w:val="39"/>
    <w:unhideWhenUsed/>
    <w:pPr>
      <w:spacing w:before="0" w:after="57"/>
      <w:ind w:left="567"/>
    </w:pPr>
  </w:style>
  <w:style w:type="paragraph" w:styleId="40">
    <w:name w:val="toc 4"/>
    <w:basedOn w:val="a"/>
    <w:uiPriority w:val="39"/>
    <w:unhideWhenUsed/>
    <w:pPr>
      <w:spacing w:before="0" w:after="57"/>
      <w:ind w:left="850"/>
    </w:pPr>
  </w:style>
  <w:style w:type="paragraph" w:styleId="50">
    <w:name w:val="toc 5"/>
    <w:basedOn w:val="a"/>
    <w:uiPriority w:val="39"/>
    <w:unhideWhenUsed/>
    <w:pPr>
      <w:spacing w:before="0" w:after="57"/>
      <w:ind w:left="1134"/>
    </w:pPr>
  </w:style>
  <w:style w:type="paragraph" w:styleId="60">
    <w:name w:val="toc 6"/>
    <w:basedOn w:val="a"/>
    <w:uiPriority w:val="39"/>
    <w:unhideWhenUsed/>
    <w:pPr>
      <w:spacing w:before="0" w:after="57"/>
      <w:ind w:left="1417"/>
    </w:pPr>
  </w:style>
  <w:style w:type="paragraph" w:styleId="70">
    <w:name w:val="toc 7"/>
    <w:basedOn w:val="a"/>
    <w:uiPriority w:val="39"/>
    <w:unhideWhenUsed/>
    <w:pPr>
      <w:spacing w:before="0" w:after="57"/>
      <w:ind w:left="1701"/>
    </w:pPr>
  </w:style>
  <w:style w:type="paragraph" w:styleId="80">
    <w:name w:val="toc 8"/>
    <w:basedOn w:val="a"/>
    <w:uiPriority w:val="39"/>
    <w:unhideWhenUsed/>
    <w:pPr>
      <w:spacing w:before="0" w:after="57"/>
      <w:ind w:left="1984"/>
    </w:pPr>
  </w:style>
  <w:style w:type="paragraph" w:styleId="90">
    <w:name w:val="toc 9"/>
    <w:basedOn w:val="a"/>
    <w:uiPriority w:val="39"/>
    <w:unhideWhenUsed/>
    <w:pPr>
      <w:spacing w:before="0" w:after="57"/>
      <w:ind w:left="2268"/>
    </w:pPr>
  </w:style>
  <w:style w:type="paragraph" w:styleId="af5">
    <w:name w:val="TOC Heading"/>
    <w:uiPriority w:val="39"/>
    <w:unhideWhenUsed/>
    <w:qFormat/>
    <w:pPr>
      <w:spacing w:after="160" w:line="259" w:lineRule="auto"/>
    </w:pPr>
  </w:style>
  <w:style w:type="paragraph" w:styleId="af6">
    <w:name w:val="table of figures"/>
    <w:basedOn w:val="a"/>
    <w:uiPriority w:val="99"/>
    <w:unhideWhenUsed/>
    <w:qFormat/>
    <w:pPr>
      <w:spacing w:before="0"/>
    </w:p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spacing w:before="60"/>
      <w:jc w:val="both"/>
    </w:pPr>
    <w:rPr>
      <w:rFonts w:ascii="Times New Roman" w:eastAsia="Times New Roman" w:hAnsi="Times New Roman" w:cs="Times New Roman"/>
      <w:color w:val="00000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1906</Words>
  <Characters>10865</Characters>
  <Application>Microsoft Office Word</Application>
  <DocSecurity>0</DocSecurity>
  <Lines>90</Lines>
  <Paragraphs>25</Paragraphs>
  <ScaleCrop>false</ScaleCrop>
  <Company/>
  <LinksUpToDate>false</LinksUpToDate>
  <CharactersWithSpaces>12746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Квашнина Ирина Владимировна</dc:creator>
  <dc:description/>
  <cp:lastModifiedBy>Егоров Илья Сергеевич</cp:lastModifiedBy>
  <cp:revision>2</cp:revision>
  <dcterms:created xsi:type="dcterms:W3CDTF">2025-02-28T04:48:00Z</dcterms:created>
  <dcterms:modified xsi:type="dcterms:W3CDTF">2025-02-28T04:48:00Z</dcterms:modified>
  <dc:language>ru-RU</dc:language>
</cp:coreProperties>
</file>